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D" w:rsidRPr="008C6FC9" w:rsidRDefault="00246782" w:rsidP="002740CD">
      <w:pPr>
        <w:pStyle w:val="Heading2"/>
        <w:pBdr>
          <w:bottom w:val="single" w:sz="8" w:space="0" w:color="4F81BD"/>
        </w:pBdr>
        <w:tabs>
          <w:tab w:val="left" w:pos="6270"/>
        </w:tabs>
        <w:rPr>
          <w:color w:val="000000" w:themeColor="text1"/>
        </w:rPr>
      </w:pPr>
      <w:r w:rsidRPr="008C6FC9">
        <w:rPr>
          <w:noProof/>
          <w:color w:val="000000" w:themeColor="text1"/>
          <w:lang w:eastAsia="en-AU"/>
        </w:rPr>
        <mc:AlternateContent>
          <mc:Choice Requires="wps">
            <w:drawing>
              <wp:anchor distT="0" distB="0" distL="114300" distR="114300" simplePos="0" relativeHeight="251659264" behindDoc="0" locked="0" layoutInCell="1" allowOverlap="1" wp14:anchorId="1A1257E3" wp14:editId="4CC26C44">
                <wp:simplePos x="0" y="0"/>
                <wp:positionH relativeFrom="column">
                  <wp:posOffset>4133850</wp:posOffset>
                </wp:positionH>
                <wp:positionV relativeFrom="paragraph">
                  <wp:posOffset>-676275</wp:posOffset>
                </wp:positionV>
                <wp:extent cx="21145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38325"/>
                        </a:xfrm>
                        <a:prstGeom prst="rect">
                          <a:avLst/>
                        </a:prstGeom>
                        <a:solidFill>
                          <a:srgbClr val="FFFFFF"/>
                        </a:solidFill>
                        <a:ln w="9525">
                          <a:noFill/>
                          <a:miter lim="800000"/>
                          <a:headEnd/>
                          <a:tailEnd/>
                        </a:ln>
                      </wps:spPr>
                      <wps:txbx>
                        <w:txbxContent>
                          <w:p w:rsidR="00246782" w:rsidRDefault="008C6FC9">
                            <w:r>
                              <w:rPr>
                                <w:noProof/>
                                <w:lang w:eastAsia="en-AU"/>
                              </w:rPr>
                              <w:drawing>
                                <wp:inline distT="0" distB="0" distL="0" distR="0" wp14:anchorId="728465E7" wp14:editId="5C4638A4">
                                  <wp:extent cx="2087880" cy="208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 colour_print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5pt;margin-top:-53.25pt;width:166.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" stroked="f">
                <v:textbox>
                  <w:txbxContent>
                    <w:p w:rsidR="00246782" w:rsidRDefault="008C6FC9">
                      <w:r>
                        <w:rPr>
                          <w:noProof/>
                          <w:lang w:eastAsia="en-AU"/>
                        </w:rPr>
                        <w:drawing>
                          <wp:inline distT="0" distB="0" distL="0" distR="0" wp14:anchorId="728465E7" wp14:editId="5C4638A4">
                            <wp:extent cx="2087880" cy="208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 colour_print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inline>
                        </w:drawing>
                      </w:r>
                    </w:p>
                  </w:txbxContent>
                </v:textbox>
              </v:shape>
            </w:pict>
          </mc:Fallback>
        </mc:AlternateContent>
      </w:r>
      <w:r w:rsidR="002740CD" w:rsidRPr="008C6FC9">
        <w:rPr>
          <w:color w:val="000000" w:themeColor="text1"/>
        </w:rPr>
        <w:t xml:space="preserve">Privacy </w:t>
      </w:r>
      <w:r w:rsidR="00E26615">
        <w:rPr>
          <w:color w:val="000000" w:themeColor="text1"/>
        </w:rPr>
        <w:t xml:space="preserve">and Confidentiality </w:t>
      </w:r>
      <w:r w:rsidR="002740CD" w:rsidRPr="008C6FC9">
        <w:rPr>
          <w:color w:val="000000" w:themeColor="text1"/>
        </w:rPr>
        <w:t>policy</w:t>
      </w:r>
      <w:r w:rsidR="002740CD" w:rsidRPr="008C6FC9">
        <w:rPr>
          <w:color w:val="000000" w:themeColor="text1"/>
        </w:rPr>
        <w:tab/>
      </w:r>
    </w:p>
    <w:p w:rsidR="002740CD" w:rsidRPr="002740CD" w:rsidRDefault="002740CD" w:rsidP="002740CD">
      <w:pPr>
        <w:pStyle w:val="NoSpacing"/>
        <w:rPr>
          <w:rStyle w:val="IntenseEmphasis"/>
          <w:rFonts w:asciiTheme="minorHAnsi" w:hAnsiTheme="minorHAnsi"/>
          <w:b/>
          <w:i w:val="0"/>
          <w:color w:val="auto"/>
          <w:sz w:val="28"/>
          <w:szCs w:val="28"/>
        </w:rPr>
      </w:pPr>
    </w:p>
    <w:p w:rsidR="008C6FC9" w:rsidRDefault="008C6FC9" w:rsidP="002740CD">
      <w:pPr>
        <w:tabs>
          <w:tab w:val="left" w:pos="5197"/>
        </w:tabs>
        <w:jc w:val="both"/>
        <w:rPr>
          <w:rStyle w:val="IntenseEmphasis"/>
          <w:rFonts w:asciiTheme="minorHAnsi" w:hAnsiTheme="minorHAnsi"/>
          <w:b/>
          <w:i w:val="0"/>
          <w:color w:val="auto"/>
          <w:sz w:val="22"/>
          <w:szCs w:val="22"/>
        </w:rPr>
      </w:pPr>
    </w:p>
    <w:p w:rsidR="008C6FC9" w:rsidRDefault="008C6FC9" w:rsidP="002740CD">
      <w:pPr>
        <w:tabs>
          <w:tab w:val="left" w:pos="5197"/>
        </w:tabs>
        <w:jc w:val="both"/>
        <w:rPr>
          <w:rStyle w:val="IntenseEmphasis"/>
          <w:rFonts w:asciiTheme="minorHAnsi" w:hAnsiTheme="minorHAnsi"/>
          <w:b/>
          <w:i w:val="0"/>
          <w:color w:val="auto"/>
          <w:sz w:val="22"/>
          <w:szCs w:val="22"/>
        </w:rPr>
      </w:pPr>
    </w:p>
    <w:p w:rsidR="008C6FC9" w:rsidRDefault="008C6FC9" w:rsidP="002740CD">
      <w:pPr>
        <w:tabs>
          <w:tab w:val="left" w:pos="5197"/>
        </w:tabs>
        <w:jc w:val="both"/>
        <w:rPr>
          <w:rStyle w:val="IntenseEmphasis"/>
          <w:rFonts w:asciiTheme="minorHAnsi" w:hAnsiTheme="minorHAnsi"/>
          <w:b/>
          <w:i w:val="0"/>
          <w:color w:val="auto"/>
          <w:sz w:val="22"/>
          <w:szCs w:val="22"/>
        </w:rPr>
      </w:pPr>
    </w:p>
    <w:p w:rsidR="002740CD" w:rsidRPr="0031722A" w:rsidRDefault="002740CD" w:rsidP="0031722A">
      <w:pPr>
        <w:spacing w:after="200" w:line="276" w:lineRule="auto"/>
        <w:jc w:val="both"/>
        <w:rPr>
          <w:rFonts w:ascii="Calibri" w:eastAsia="Calibri" w:hAnsi="Calibri" w:cs="Calibri"/>
          <w:b/>
          <w:iCs/>
          <w:lang w:eastAsia="en-AU"/>
        </w:rPr>
      </w:pPr>
      <w:r w:rsidRPr="0031722A">
        <w:rPr>
          <w:rFonts w:ascii="Calibri" w:eastAsia="Calibri" w:hAnsi="Calibri" w:cs="Calibri"/>
          <w:b/>
          <w:iCs/>
          <w:lang w:eastAsia="en-AU"/>
        </w:rPr>
        <w:t>Overview</w:t>
      </w:r>
      <w:r w:rsidRPr="0031722A">
        <w:rPr>
          <w:rFonts w:ascii="Calibri" w:eastAsia="Calibri" w:hAnsi="Calibri" w:cs="Calibri"/>
          <w:b/>
          <w:iCs/>
          <w:lang w:eastAsia="en-AU"/>
        </w:rPr>
        <w:tab/>
      </w:r>
    </w:p>
    <w:p w:rsidR="002740CD" w:rsidRPr="0031722A" w:rsidRDefault="0031722A" w:rsidP="0031722A">
      <w:pPr>
        <w:spacing w:after="200" w:line="276" w:lineRule="auto"/>
        <w:jc w:val="both"/>
        <w:rPr>
          <w:rFonts w:ascii="Calibri" w:eastAsia="Calibri" w:hAnsi="Calibri" w:cs="Calibri"/>
          <w:lang w:eastAsia="en-AU"/>
        </w:rPr>
      </w:pPr>
      <w:r w:rsidRPr="0031722A">
        <w:rPr>
          <w:rStyle w:val="IntenseEmphasis"/>
          <w:rFonts w:asciiTheme="minorHAnsi" w:hAnsiTheme="minorHAnsi" w:cstheme="minorHAnsi"/>
          <w:i w:val="0"/>
          <w:color w:val="CC0066"/>
        </w:rPr>
        <w:t>…metaphorically speaking</w:t>
      </w:r>
      <w:r w:rsidRPr="0031722A">
        <w:rPr>
          <w:rStyle w:val="IntenseEmphasis"/>
          <w:rFonts w:asciiTheme="minorHAnsi" w:hAnsiTheme="minorHAnsi" w:cstheme="minorHAnsi"/>
          <w:i w:val="0"/>
          <w:color w:val="auto"/>
        </w:rPr>
        <w:t xml:space="preserve"> </w:t>
      </w:r>
      <w:r w:rsidR="002740CD" w:rsidRPr="0031722A">
        <w:rPr>
          <w:rFonts w:ascii="Calibri" w:eastAsia="Calibri" w:hAnsi="Calibri" w:cs="Calibri"/>
          <w:lang w:eastAsia="en-AU"/>
        </w:rPr>
        <w:t xml:space="preserve">is committed to complying with the </w:t>
      </w:r>
      <w:hyperlink r:id="rId10" w:history="1">
        <w:r w:rsidR="002740CD" w:rsidRPr="0031722A">
          <w:rPr>
            <w:rFonts w:ascii="Calibri" w:eastAsia="Calibri" w:hAnsi="Calibri" w:cs="Calibri"/>
            <w:lang w:eastAsia="en-AU"/>
          </w:rPr>
          <w:t>Privacy Act 1988</w:t>
        </w:r>
      </w:hyperlink>
      <w:r w:rsidR="002740CD" w:rsidRPr="0031722A">
        <w:rPr>
          <w:rFonts w:ascii="Calibri" w:eastAsia="Calibri" w:hAnsi="Calibri" w:cs="Calibri"/>
          <w:lang w:eastAsia="en-AU"/>
        </w:rPr>
        <w:t xml:space="preserve"> </w:t>
      </w:r>
      <w:hyperlink r:id="rId11" w:history="1">
        <w:r w:rsidR="002740CD" w:rsidRPr="0031722A">
          <w:rPr>
            <w:rFonts w:ascii="Calibri" w:eastAsia="Calibri" w:hAnsi="Calibri" w:cs="Calibri"/>
            <w:lang w:eastAsia="en-AU"/>
          </w:rPr>
          <w:t>and the Australian Privacy Principles 2014</w:t>
        </w:r>
      </w:hyperlink>
      <w:hyperlink r:id="rId12" w:history="1"/>
      <w:r w:rsidR="002740CD" w:rsidRPr="0031722A">
        <w:rPr>
          <w:rFonts w:ascii="Calibri" w:eastAsia="Calibri" w:hAnsi="Calibri" w:cs="Calibri"/>
          <w:lang w:eastAsia="en-AU"/>
        </w:rPr>
        <w:t xml:space="preserve"> and the privacy provisions of all applicable legislation.</w:t>
      </w:r>
    </w:p>
    <w:p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lang w:eastAsia="en-AU"/>
        </w:rPr>
        <w:t>This privacy policy covers all personal information we hold, that is, information, or an opinion about an individual, whose identity is apparent, or can be reasonably ascertained,</w:t>
      </w:r>
      <w:r w:rsidRPr="0031722A">
        <w:rPr>
          <w:rFonts w:ascii="Calibri" w:eastAsia="Calibri" w:hAnsi="Calibri" w:cs="Calibri"/>
          <w:iCs/>
          <w:lang w:eastAsia="en-AU"/>
        </w:rPr>
        <w:t xml:space="preserve"> from that information or opinion. This includes information we have collected from people through over the phone </w:t>
      </w:r>
      <w:r w:rsidR="00626BB7" w:rsidRPr="0031722A">
        <w:rPr>
          <w:rFonts w:ascii="Calibri" w:eastAsia="Calibri" w:hAnsi="Calibri" w:cs="Calibri"/>
          <w:iCs/>
          <w:lang w:eastAsia="en-AU"/>
        </w:rPr>
        <w:t>or</w:t>
      </w:r>
      <w:r w:rsidRPr="0031722A">
        <w:rPr>
          <w:rFonts w:ascii="Calibri" w:eastAsia="Calibri" w:hAnsi="Calibri" w:cs="Calibri"/>
          <w:iCs/>
          <w:lang w:eastAsia="en-AU"/>
        </w:rPr>
        <w:t xml:space="preserve"> internet.</w:t>
      </w:r>
    </w:p>
    <w:p w:rsidR="002740CD" w:rsidRPr="0031722A" w:rsidRDefault="002740CD" w:rsidP="0031722A">
      <w:pPr>
        <w:spacing w:after="200" w:line="276" w:lineRule="auto"/>
        <w:jc w:val="both"/>
        <w:rPr>
          <w:rFonts w:ascii="Calibri" w:eastAsia="Calibri" w:hAnsi="Calibri" w:cs="Calibri"/>
          <w:b/>
          <w:iCs/>
          <w:lang w:eastAsia="en-AU"/>
        </w:rPr>
      </w:pPr>
      <w:r w:rsidRPr="0031722A">
        <w:rPr>
          <w:rFonts w:ascii="Calibri" w:eastAsia="Calibri" w:hAnsi="Calibri" w:cs="Calibri"/>
          <w:b/>
          <w:iCs/>
          <w:lang w:eastAsia="en-AU"/>
        </w:rPr>
        <w:t>Collecting information</w:t>
      </w:r>
    </w:p>
    <w:p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When we </w:t>
      </w:r>
      <w:r w:rsidR="00AF1F52" w:rsidRPr="0031722A">
        <w:rPr>
          <w:rFonts w:ascii="Calibri" w:eastAsia="Calibri" w:hAnsi="Calibri" w:cs="Calibri"/>
          <w:iCs/>
          <w:lang w:eastAsia="en-AU"/>
        </w:rPr>
        <w:t>collect</w:t>
      </w:r>
      <w:r w:rsidRPr="0031722A">
        <w:rPr>
          <w:rFonts w:ascii="Calibri" w:eastAsia="Calibri" w:hAnsi="Calibri" w:cs="Calibri"/>
          <w:iCs/>
          <w:lang w:eastAsia="en-AU"/>
        </w:rPr>
        <w:t xml:space="preserve"> personal information </w:t>
      </w:r>
      <w:r w:rsidR="00AF1F52" w:rsidRPr="0031722A">
        <w:rPr>
          <w:rFonts w:ascii="Calibri" w:eastAsia="Calibri" w:hAnsi="Calibri" w:cs="Calibri"/>
          <w:iCs/>
          <w:lang w:eastAsia="en-AU"/>
        </w:rPr>
        <w:t xml:space="preserve">or artworks </w:t>
      </w:r>
      <w:r w:rsidRPr="0031722A">
        <w:rPr>
          <w:rFonts w:ascii="Calibri" w:eastAsia="Calibri" w:hAnsi="Calibri" w:cs="Calibri"/>
          <w:iCs/>
          <w:lang w:eastAsia="en-AU"/>
        </w:rPr>
        <w:t>from an individual, we will ensure that we do so in a fair manner and that we let the individual know where and how to contact our organisation.</w:t>
      </w:r>
      <w:r w:rsidR="008C6FC9" w:rsidRPr="0031722A">
        <w:rPr>
          <w:rFonts w:ascii="Calibri" w:eastAsia="Calibri" w:hAnsi="Calibri" w:cs="Calibri"/>
          <w:iCs/>
          <w:lang w:eastAsia="en-AU"/>
        </w:rPr>
        <w:t xml:space="preserve"> </w:t>
      </w:r>
      <w:r w:rsidRPr="0031722A">
        <w:rPr>
          <w:rFonts w:ascii="Calibri" w:eastAsia="Calibri" w:hAnsi="Calibri" w:cs="Calibri"/>
          <w:iCs/>
          <w:lang w:eastAsia="en-AU"/>
        </w:rPr>
        <w:t xml:space="preserve"> We will only collect information that is necessary for </w:t>
      </w:r>
      <w:r w:rsidR="00C82C1B" w:rsidRPr="0031722A">
        <w:rPr>
          <w:rFonts w:ascii="Calibri" w:eastAsia="Calibri" w:hAnsi="Calibri" w:cs="Calibri"/>
          <w:iCs/>
          <w:lang w:eastAsia="en-AU"/>
        </w:rPr>
        <w:t>the purpose of providing therapeutic services.</w:t>
      </w:r>
    </w:p>
    <w:p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We will advise individuals or the purpose for which their personal information is collected. </w:t>
      </w:r>
    </w:p>
    <w:p w:rsidR="002740CD" w:rsidRPr="0031722A" w:rsidRDefault="002740CD" w:rsidP="0031722A">
      <w:pPr>
        <w:spacing w:after="200" w:line="276" w:lineRule="auto"/>
        <w:jc w:val="both"/>
        <w:rPr>
          <w:rFonts w:ascii="Calibri" w:eastAsia="Calibri" w:hAnsi="Calibri" w:cs="Calibri"/>
          <w:iCs/>
          <w:lang w:eastAsia="en-AU"/>
        </w:rPr>
      </w:pPr>
      <w:proofErr w:type="gramStart"/>
      <w:r w:rsidRPr="0031722A">
        <w:rPr>
          <w:rFonts w:ascii="Calibri" w:eastAsia="Calibri" w:hAnsi="Calibri" w:cs="Calibri"/>
          <w:iCs/>
          <w:lang w:eastAsia="en-AU"/>
        </w:rPr>
        <w:t>If we collect sensitive information</w:t>
      </w:r>
      <w:r w:rsidR="00AF1F52" w:rsidRPr="0031722A">
        <w:rPr>
          <w:rFonts w:ascii="Calibri" w:eastAsia="Calibri" w:hAnsi="Calibri" w:cs="Calibri"/>
          <w:iCs/>
          <w:lang w:eastAsia="en-AU"/>
        </w:rPr>
        <w:t xml:space="preserve"> or artworks</w:t>
      </w:r>
      <w:r w:rsidRPr="0031722A">
        <w:rPr>
          <w:rFonts w:ascii="Calibri" w:eastAsia="Calibri" w:hAnsi="Calibri" w:cs="Calibri"/>
          <w:iCs/>
          <w:lang w:eastAsia="en-AU"/>
        </w:rPr>
        <w:t xml:space="preserve"> (as defined under the Act), we will treat it with the utmost security and confidentiality.</w:t>
      </w:r>
      <w:proofErr w:type="gramEnd"/>
      <w:r w:rsidRPr="0031722A">
        <w:rPr>
          <w:rFonts w:ascii="Calibri" w:eastAsia="Calibri" w:hAnsi="Calibri" w:cs="Calibri"/>
          <w:iCs/>
          <w:lang w:eastAsia="en-AU"/>
        </w:rPr>
        <w:t xml:space="preserve"> We will ensure that it is not collected for any purposes, other than those for which we have obtained the individual’s consent, unless the law requires otherwise, or other exceptional circumstances prevail as described under the Act.</w:t>
      </w:r>
    </w:p>
    <w:p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Where an individual chooses not to provide requested information, we will advise that individual of what consequences this non-disclosure may have.  For example, withholding certain information may limit our ability to provide relevant services to individuals.</w:t>
      </w:r>
    </w:p>
    <w:p w:rsidR="002740CD" w:rsidRPr="0031722A" w:rsidRDefault="002740CD" w:rsidP="0031722A">
      <w:pPr>
        <w:spacing w:after="200" w:line="276" w:lineRule="auto"/>
        <w:jc w:val="both"/>
        <w:rPr>
          <w:rFonts w:ascii="Calibri" w:eastAsia="Calibri" w:hAnsi="Calibri" w:cs="Calibri"/>
          <w:b/>
          <w:iCs/>
          <w:lang w:eastAsia="en-AU"/>
        </w:rPr>
      </w:pPr>
      <w:r w:rsidRPr="0031722A">
        <w:rPr>
          <w:rFonts w:ascii="Calibri" w:eastAsia="Calibri" w:hAnsi="Calibri" w:cs="Calibri"/>
          <w:b/>
          <w:iCs/>
          <w:lang w:eastAsia="en-AU"/>
        </w:rPr>
        <w:t>Disclosing information</w:t>
      </w:r>
    </w:p>
    <w:p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We will only disclose personal information in accordance with the Privacy Act.</w:t>
      </w:r>
    </w:p>
    <w:p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This means that personal information may be disclosed:</w:t>
      </w:r>
    </w:p>
    <w:p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For </w:t>
      </w:r>
      <w:r w:rsidRPr="0031722A">
        <w:rPr>
          <w:rFonts w:ascii="Calibri" w:eastAsia="Calibri" w:hAnsi="Calibri" w:cs="Calibri"/>
          <w:lang w:eastAsia="en-AU"/>
        </w:rPr>
        <w:t>the</w:t>
      </w:r>
      <w:r w:rsidRPr="0031722A">
        <w:rPr>
          <w:rFonts w:ascii="Calibri" w:eastAsia="Calibri" w:hAnsi="Calibri" w:cs="Calibri"/>
          <w:iCs/>
          <w:lang w:eastAsia="en-AU"/>
        </w:rPr>
        <w:t xml:space="preserve"> purposes for which we have advised that we are collecting it, and for related purposes that the individual would reasonably expect,</w:t>
      </w:r>
    </w:p>
    <w:p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Where we have the consent of the individual to do so,</w:t>
      </w:r>
    </w:p>
    <w:p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As required by law, or</w:t>
      </w:r>
    </w:p>
    <w:p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Under other circumstances where permitted under the Act.</w:t>
      </w:r>
    </w:p>
    <w:p w:rsidR="00E26615" w:rsidRPr="0031722A" w:rsidRDefault="002740CD" w:rsidP="0031722A">
      <w:pPr>
        <w:spacing w:after="200" w:line="276" w:lineRule="auto"/>
        <w:jc w:val="both"/>
        <w:rPr>
          <w:rFonts w:ascii="Calibri" w:eastAsia="Calibri" w:hAnsi="Calibri" w:cs="Calibri"/>
          <w:lang w:eastAsia="en-AU"/>
        </w:rPr>
      </w:pPr>
      <w:r w:rsidRPr="0031722A">
        <w:rPr>
          <w:rFonts w:ascii="Calibri" w:eastAsia="Calibri" w:hAnsi="Calibri" w:cs="Calibri"/>
          <w:lang w:eastAsia="en-AU"/>
        </w:rPr>
        <w:lastRenderedPageBreak/>
        <w:t>In the course of our business activities, we may need to disclose some of your personal information to relevant staff of the agency who has contracted our services.</w:t>
      </w:r>
      <w:r w:rsidR="00CB0139" w:rsidRPr="0031722A">
        <w:rPr>
          <w:rFonts w:ascii="Calibri" w:eastAsia="Calibri" w:hAnsi="Calibri" w:cs="Calibri"/>
          <w:lang w:eastAsia="en-AU"/>
        </w:rPr>
        <w:t xml:space="preserve">  </w:t>
      </w:r>
    </w:p>
    <w:p w:rsidR="00E26615" w:rsidRPr="00E26615" w:rsidRDefault="00E26615" w:rsidP="0031722A">
      <w:pPr>
        <w:spacing w:after="200" w:line="276" w:lineRule="auto"/>
        <w:jc w:val="both"/>
        <w:rPr>
          <w:rFonts w:ascii="Calibri" w:eastAsia="Calibri" w:hAnsi="Calibri" w:cs="Calibri"/>
          <w:iCs/>
          <w:lang w:eastAsia="en-AU"/>
        </w:rPr>
      </w:pPr>
      <w:r w:rsidRPr="00E26615">
        <w:rPr>
          <w:rFonts w:ascii="Calibri" w:eastAsia="Calibri" w:hAnsi="Calibri" w:cs="Calibri"/>
          <w:iCs/>
          <w:lang w:eastAsia="en-AU"/>
        </w:rPr>
        <w:t>There may be instances where we believe that by disclosing your confidential information, an actual identifiable risk of harm to you or another person can be prevented.  For example, where a person threatens to take their own life or that of another person, we may have an ethical obligation to advise an appropriate emergency or mental health service.   Where it is safe to do so, we will advise you of our need to disclose your information.</w:t>
      </w:r>
    </w:p>
    <w:p w:rsidR="002740CD" w:rsidRPr="0031722A" w:rsidRDefault="00CB0139"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There are some other limitations to </w:t>
      </w:r>
      <w:r w:rsidR="00E26615" w:rsidRPr="0031722A">
        <w:rPr>
          <w:rFonts w:ascii="Calibri" w:eastAsia="Calibri" w:hAnsi="Calibri" w:cs="Calibri"/>
          <w:iCs/>
          <w:lang w:eastAsia="en-AU"/>
        </w:rPr>
        <w:t>confidentiality outlined in the section on Mandatory Reporting.</w:t>
      </w:r>
    </w:p>
    <w:p w:rsidR="00CB0139" w:rsidRPr="0031722A" w:rsidRDefault="00CB0139" w:rsidP="0031722A">
      <w:pPr>
        <w:spacing w:after="200" w:line="276" w:lineRule="auto"/>
        <w:jc w:val="both"/>
        <w:rPr>
          <w:rFonts w:ascii="Calibri" w:eastAsia="Calibri" w:hAnsi="Calibri" w:cs="Calibri"/>
          <w:b/>
          <w:lang w:eastAsia="en-AU"/>
        </w:rPr>
      </w:pPr>
      <w:r w:rsidRPr="0031722A">
        <w:rPr>
          <w:rFonts w:ascii="Calibri" w:eastAsia="Calibri" w:hAnsi="Calibri" w:cs="Calibri"/>
          <w:b/>
          <w:lang w:eastAsia="en-AU"/>
        </w:rPr>
        <w:t>Mandatory Reporting</w:t>
      </w:r>
    </w:p>
    <w:p w:rsidR="00CB0139" w:rsidRPr="00CB0139" w:rsidRDefault="00CB0139" w:rsidP="0031722A">
      <w:pPr>
        <w:spacing w:after="200" w:line="276" w:lineRule="auto"/>
        <w:jc w:val="both"/>
        <w:rPr>
          <w:rFonts w:ascii="Calibri" w:eastAsia="Calibri" w:hAnsi="Calibri" w:cs="Calibri"/>
          <w:iCs/>
          <w:lang w:eastAsia="en-AU"/>
        </w:rPr>
      </w:pPr>
      <w:r w:rsidRPr="00CB0139">
        <w:rPr>
          <w:rFonts w:ascii="Calibri" w:eastAsia="Calibri" w:hAnsi="Calibri" w:cs="Calibri"/>
          <w:iCs/>
          <w:lang w:eastAsia="en-AU"/>
        </w:rPr>
        <w:t xml:space="preserve">Social workers are required by law under the </w:t>
      </w:r>
      <w:r w:rsidR="00E26615" w:rsidRPr="0031722A">
        <w:rPr>
          <w:rFonts w:ascii="Calibri" w:eastAsia="Calibri" w:hAnsi="Calibri" w:cs="Calibri"/>
          <w:iCs/>
          <w:lang w:eastAsia="en-AU"/>
        </w:rPr>
        <w:t xml:space="preserve">NSW </w:t>
      </w:r>
      <w:hyperlink r:id="rId13">
        <w:r w:rsidRPr="00CB0139">
          <w:rPr>
            <w:rFonts w:ascii="Calibri" w:eastAsia="Calibri" w:hAnsi="Calibri" w:cs="Calibri"/>
            <w:iCs/>
            <w:lang w:eastAsia="en-AU"/>
          </w:rPr>
          <w:t>Child</w:t>
        </w:r>
        <w:r w:rsidRPr="00CB0139">
          <w:rPr>
            <w:rFonts w:ascii="Calibri" w:eastAsia="Calibri" w:hAnsi="Calibri" w:cs="Calibri"/>
            <w:iCs/>
            <w:lang w:eastAsia="en-AU"/>
          </w:rPr>
          <w:t>r</w:t>
        </w:r>
        <w:r w:rsidRPr="00CB0139">
          <w:rPr>
            <w:rFonts w:ascii="Calibri" w:eastAsia="Calibri" w:hAnsi="Calibri" w:cs="Calibri"/>
            <w:iCs/>
            <w:lang w:eastAsia="en-AU"/>
          </w:rPr>
          <w:t>en and Young Persons (Care and Protection) Act 1998</w:t>
        </w:r>
      </w:hyperlink>
      <w:r w:rsidRPr="0031722A">
        <w:rPr>
          <w:rFonts w:ascii="Calibri" w:eastAsia="Calibri" w:hAnsi="Calibri" w:cs="Calibri"/>
          <w:iCs/>
          <w:lang w:eastAsia="en-AU"/>
        </w:rPr>
        <w:t xml:space="preserve"> </w:t>
      </w:r>
      <w:r w:rsidRPr="00CB0139">
        <w:rPr>
          <w:rFonts w:ascii="Calibri" w:eastAsia="Calibri" w:hAnsi="Calibri" w:cs="Calibri"/>
          <w:iCs/>
          <w:lang w:eastAsia="en-AU"/>
        </w:rPr>
        <w:t>to report concerns about child abuse and neglect</w:t>
      </w:r>
      <w:r w:rsidRPr="0031722A">
        <w:rPr>
          <w:rFonts w:ascii="Calibri" w:eastAsia="Calibri" w:hAnsi="Calibri" w:cs="Calibri"/>
          <w:iCs/>
          <w:lang w:eastAsia="en-AU"/>
        </w:rPr>
        <w:t xml:space="preserve"> for children aged 0-15 years</w:t>
      </w:r>
      <w:r w:rsidRPr="00CB0139">
        <w:rPr>
          <w:rFonts w:ascii="Calibri" w:eastAsia="Calibri" w:hAnsi="Calibri" w:cs="Calibri"/>
          <w:iCs/>
          <w:lang w:eastAsia="en-AU"/>
        </w:rPr>
        <w:t>.</w:t>
      </w:r>
      <w:r w:rsidR="00E26615" w:rsidRPr="0031722A">
        <w:rPr>
          <w:rFonts w:ascii="Calibri" w:eastAsia="Calibri" w:hAnsi="Calibri" w:cs="Calibri"/>
          <w:iCs/>
          <w:lang w:eastAsia="en-AU"/>
        </w:rPr>
        <w:t xml:space="preserve">  These concerns include:</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basic physical or psychological needs of the child or young person are not being met (neglect)</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parents or caregivers have not arranged necessary medical care for the child or young person (unwilling or unable to do so)</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parents or caregivers have not arranged for the child or young person to receive an education in accordance with the </w:t>
      </w:r>
      <w:hyperlink r:id="rId14">
        <w:r w:rsidRPr="0031722A">
          <w:rPr>
            <w:rFonts w:ascii="Calibri" w:eastAsia="Calibri" w:hAnsi="Calibri" w:cs="Calibri"/>
            <w:iCs/>
            <w:lang w:eastAsia="en-AU"/>
          </w:rPr>
          <w:t>Education Act 1990</w:t>
        </w:r>
      </w:hyperlink>
      <w:r w:rsidRPr="0031722A">
        <w:rPr>
          <w:rFonts w:ascii="Calibri" w:eastAsia="Calibri" w:hAnsi="Calibri" w:cs="Calibri"/>
          <w:iCs/>
          <w:lang w:eastAsia="en-AU"/>
        </w:rPr>
        <w:t> (unwilling or unable to do so)</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risk of physical or sexual abuse or ill-treatment</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parent or caregiver’s behaviour towards the child causes or risks serious psychological harm (emotional abuse)</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incidents of domestic violence and as a consequence a child or young person is at risk of serious physical or psychological harm (domestic or family violence)</w:t>
      </w:r>
    </w:p>
    <w:p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proofErr w:type="gramStart"/>
      <w:r w:rsidRPr="0031722A">
        <w:rPr>
          <w:rFonts w:ascii="Calibri" w:eastAsia="Calibri" w:hAnsi="Calibri" w:cs="Calibri"/>
          <w:iCs/>
          <w:lang w:eastAsia="en-AU"/>
        </w:rPr>
        <w:t>the</w:t>
      </w:r>
      <w:proofErr w:type="gramEnd"/>
      <w:r w:rsidRPr="0031722A">
        <w:rPr>
          <w:rFonts w:ascii="Calibri" w:eastAsia="Calibri" w:hAnsi="Calibri" w:cs="Calibri"/>
          <w:iCs/>
          <w:lang w:eastAsia="en-AU"/>
        </w:rPr>
        <w:t xml:space="preserve"> child was the subject in a prenatal report and the birth mother did not engage successfully with support services.</w:t>
      </w:r>
    </w:p>
    <w:p w:rsidR="00CB0139" w:rsidRPr="00CB0139" w:rsidRDefault="00CB0139" w:rsidP="0031722A">
      <w:pPr>
        <w:spacing w:after="200" w:line="276" w:lineRule="auto"/>
        <w:jc w:val="both"/>
        <w:rPr>
          <w:rFonts w:ascii="Calibri" w:eastAsia="Calibri" w:hAnsi="Calibri" w:cs="Calibri"/>
          <w:iCs/>
          <w:lang w:eastAsia="en-AU"/>
        </w:rPr>
      </w:pPr>
      <w:r w:rsidRPr="00CB0139">
        <w:rPr>
          <w:rFonts w:ascii="Calibri" w:eastAsia="Calibri" w:hAnsi="Calibri" w:cs="Calibri"/>
          <w:iCs/>
          <w:lang w:eastAsia="en-AU"/>
        </w:rPr>
        <w:t>Chapter 16A of the </w:t>
      </w:r>
      <w:hyperlink r:id="rId15">
        <w:r w:rsidRPr="00CB0139">
          <w:rPr>
            <w:rFonts w:ascii="Calibri" w:eastAsia="Calibri" w:hAnsi="Calibri" w:cs="Calibri"/>
            <w:iCs/>
            <w:lang w:eastAsia="en-AU"/>
          </w:rPr>
          <w:t>NSW Children and Young Person (Care and Protection) Act 1998</w:t>
        </w:r>
      </w:hyperlink>
      <w:r w:rsidRPr="00CB0139">
        <w:rPr>
          <w:rFonts w:ascii="Calibri" w:eastAsia="Calibri" w:hAnsi="Calibri" w:cs="Calibri"/>
          <w:iCs/>
          <w:lang w:eastAsia="en-AU"/>
        </w:rPr>
        <w:t xml:space="preserve"> </w:t>
      </w:r>
      <w:r w:rsidR="00E26615" w:rsidRPr="0031722A">
        <w:rPr>
          <w:rFonts w:ascii="Calibri" w:eastAsia="Calibri" w:hAnsi="Calibri" w:cs="Calibri"/>
          <w:iCs/>
          <w:lang w:eastAsia="en-AU"/>
        </w:rPr>
        <w:t xml:space="preserve">also </w:t>
      </w:r>
      <w:r w:rsidRPr="00CB0139">
        <w:rPr>
          <w:rFonts w:ascii="Calibri" w:eastAsia="Calibri" w:hAnsi="Calibri" w:cs="Calibri"/>
          <w:iCs/>
          <w:lang w:eastAsia="en-AU"/>
        </w:rPr>
        <w:t xml:space="preserve">provides for the exchange of information and cooperation between </w:t>
      </w:r>
      <w:r w:rsidR="00E26615" w:rsidRPr="0031722A">
        <w:rPr>
          <w:rFonts w:ascii="Calibri" w:eastAsia="Calibri" w:hAnsi="Calibri" w:cs="Calibri"/>
          <w:iCs/>
          <w:lang w:eastAsia="en-AU"/>
        </w:rPr>
        <w:t>all agencies working with a child</w:t>
      </w:r>
      <w:r w:rsidRPr="00CB0139">
        <w:rPr>
          <w:rFonts w:ascii="Calibri" w:eastAsia="Calibri" w:hAnsi="Calibri" w:cs="Calibri"/>
          <w:iCs/>
          <w:lang w:eastAsia="en-AU"/>
        </w:rPr>
        <w:t>, if the information relates to the safety, welfare or wellbeing of a child.</w:t>
      </w:r>
    </w:p>
    <w:p w:rsidR="00CB0139" w:rsidRPr="00CB0139" w:rsidRDefault="00DE3D96" w:rsidP="0031722A">
      <w:pPr>
        <w:spacing w:after="200" w:line="276" w:lineRule="auto"/>
        <w:jc w:val="both"/>
        <w:rPr>
          <w:rFonts w:ascii="Calibri" w:eastAsia="Calibri" w:hAnsi="Calibri" w:cs="Calibri"/>
          <w:iCs/>
          <w:lang w:eastAsia="en-AU"/>
        </w:rPr>
      </w:pPr>
      <w:r>
        <w:rPr>
          <w:rFonts w:ascii="Calibri" w:eastAsia="Calibri" w:hAnsi="Calibri" w:cs="Calibri"/>
          <w:iCs/>
          <w:lang w:eastAsia="en-AU"/>
        </w:rPr>
        <w:t>Where the</w:t>
      </w:r>
      <w:r w:rsidR="00E26615" w:rsidRPr="0031722A">
        <w:rPr>
          <w:rFonts w:ascii="Calibri" w:eastAsia="Calibri" w:hAnsi="Calibri" w:cs="Calibri"/>
          <w:iCs/>
          <w:lang w:eastAsia="en-AU"/>
        </w:rPr>
        <w:t xml:space="preserve"> client lives in another state</w:t>
      </w:r>
      <w:r>
        <w:rPr>
          <w:rFonts w:ascii="Calibri" w:eastAsia="Calibri" w:hAnsi="Calibri" w:cs="Calibri"/>
          <w:iCs/>
          <w:lang w:eastAsia="en-AU"/>
        </w:rPr>
        <w:t xml:space="preserve"> or Territory of Australia, different</w:t>
      </w:r>
      <w:r w:rsidR="00E26615" w:rsidRPr="0031722A">
        <w:rPr>
          <w:rFonts w:ascii="Calibri" w:eastAsia="Calibri" w:hAnsi="Calibri" w:cs="Calibri"/>
          <w:iCs/>
          <w:lang w:eastAsia="en-AU"/>
        </w:rPr>
        <w:t xml:space="preserve"> laws may apply.</w:t>
      </w:r>
    </w:p>
    <w:p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Unauthorised disclosure or access</w:t>
      </w:r>
    </w:p>
    <w:p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As </w:t>
      </w:r>
      <w:r w:rsidR="000076BD" w:rsidRPr="0031722A">
        <w:rPr>
          <w:rStyle w:val="IntenseEmphasis"/>
          <w:rFonts w:ascii="Calibri" w:hAnsi="Calibri" w:cs="Calibri"/>
          <w:i w:val="0"/>
          <w:color w:val="CC0066"/>
        </w:rPr>
        <w:t>…metaphorically s</w:t>
      </w:r>
      <w:r w:rsidRPr="0031722A">
        <w:rPr>
          <w:rStyle w:val="IntenseEmphasis"/>
          <w:rFonts w:ascii="Calibri" w:hAnsi="Calibri" w:cs="Calibri"/>
          <w:i w:val="0"/>
          <w:color w:val="CC0066"/>
        </w:rPr>
        <w:t>peaking</w:t>
      </w:r>
      <w:r w:rsidRPr="0031722A">
        <w:rPr>
          <w:rStyle w:val="IntenseEmphasis"/>
          <w:rFonts w:ascii="Calibri" w:hAnsi="Calibri" w:cs="Calibri"/>
          <w:i w:val="0"/>
          <w:color w:val="auto"/>
        </w:rPr>
        <w:t xml:space="preserve"> is committed to protecting the privacy of individuals, we will view unauthorised disclosure of, or access to, personal information by our employees or contractors, as a serious breach of this policy. Appropriate action (which may include disciplinary or legal action) will be taken in such cases.</w:t>
      </w:r>
    </w:p>
    <w:p w:rsidR="002740CD" w:rsidRPr="0031722A" w:rsidRDefault="002740CD" w:rsidP="002740CD">
      <w:pPr>
        <w:jc w:val="both"/>
        <w:rPr>
          <w:rStyle w:val="IntenseEmphasis"/>
          <w:rFonts w:ascii="Calibri" w:hAnsi="Calibri" w:cs="Calibri"/>
          <w:i w:val="0"/>
          <w:color w:val="auto"/>
        </w:rPr>
      </w:pPr>
    </w:p>
    <w:p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lastRenderedPageBreak/>
        <w:t>Access to personal information</w:t>
      </w:r>
    </w:p>
    <w:p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Individuals </w:t>
      </w:r>
      <w:r w:rsidR="008C6FC9" w:rsidRPr="0031722A">
        <w:rPr>
          <w:rStyle w:val="IntenseEmphasis"/>
          <w:rFonts w:ascii="Calibri" w:hAnsi="Calibri" w:cs="Calibri"/>
          <w:i w:val="0"/>
          <w:color w:val="auto"/>
        </w:rPr>
        <w:t>are</w:t>
      </w:r>
      <w:r w:rsidRPr="0031722A">
        <w:rPr>
          <w:rStyle w:val="IntenseEmphasis"/>
          <w:rFonts w:ascii="Calibri" w:hAnsi="Calibri" w:cs="Calibri"/>
          <w:i w:val="0"/>
          <w:color w:val="auto"/>
        </w:rPr>
        <w:t xml:space="preserve"> able to access their personal information upon request</w:t>
      </w:r>
      <w:r w:rsidR="008C6FC9" w:rsidRPr="0031722A">
        <w:rPr>
          <w:rStyle w:val="IntenseEmphasis"/>
          <w:rFonts w:ascii="Calibri" w:hAnsi="Calibri" w:cs="Calibri"/>
          <w:i w:val="0"/>
          <w:color w:val="auto"/>
        </w:rPr>
        <w:t xml:space="preserve"> in writing at the provided address below</w:t>
      </w:r>
      <w:r w:rsidRPr="0031722A">
        <w:rPr>
          <w:rStyle w:val="IntenseEmphasis"/>
          <w:rFonts w:ascii="Calibri" w:hAnsi="Calibri" w:cs="Calibri"/>
          <w:i w:val="0"/>
          <w:color w:val="auto"/>
        </w:rPr>
        <w:t xml:space="preserve">. </w:t>
      </w:r>
      <w:r w:rsidR="008C6FC9" w:rsidRPr="0031722A">
        <w:rPr>
          <w:rStyle w:val="IntenseEmphasis"/>
          <w:rFonts w:ascii="Calibri" w:hAnsi="Calibri" w:cs="Calibri"/>
          <w:i w:val="0"/>
          <w:color w:val="auto"/>
        </w:rPr>
        <w:t xml:space="preserve">  </w:t>
      </w:r>
      <w:proofErr w:type="gramStart"/>
      <w:r w:rsidRPr="0031722A">
        <w:rPr>
          <w:rStyle w:val="IntenseEmphasis"/>
          <w:rFonts w:ascii="Calibri" w:hAnsi="Calibri" w:cs="Calibri"/>
          <w:i w:val="0"/>
          <w:color w:val="auto"/>
        </w:rPr>
        <w:t xml:space="preserve">However, </w:t>
      </w:r>
      <w:r w:rsidR="00E26615" w:rsidRPr="0031722A">
        <w:rPr>
          <w:rStyle w:val="IntenseEmphasis"/>
          <w:rFonts w:ascii="Calibri" w:hAnsi="Calibri" w:cs="Calibri"/>
          <w:i w:val="0"/>
          <w:color w:val="CC0066"/>
        </w:rPr>
        <w:t>…metaphorically</w:t>
      </w:r>
      <w:proofErr w:type="gramEnd"/>
      <w:r w:rsidR="00E26615" w:rsidRPr="0031722A">
        <w:rPr>
          <w:rStyle w:val="IntenseEmphasis"/>
          <w:rFonts w:ascii="Calibri" w:hAnsi="Calibri" w:cs="Calibri"/>
          <w:i w:val="0"/>
          <w:color w:val="CC0066"/>
        </w:rPr>
        <w:t xml:space="preserve"> s</w:t>
      </w:r>
      <w:r w:rsidRPr="0031722A">
        <w:rPr>
          <w:rStyle w:val="IntenseEmphasis"/>
          <w:rFonts w:ascii="Calibri" w:hAnsi="Calibri" w:cs="Calibri"/>
          <w:i w:val="0"/>
          <w:color w:val="CC0066"/>
        </w:rPr>
        <w:t>peaking</w:t>
      </w:r>
      <w:r w:rsidRPr="0031722A">
        <w:rPr>
          <w:rStyle w:val="IntenseEmphasis"/>
          <w:rFonts w:ascii="Calibri" w:hAnsi="Calibri" w:cs="Calibri"/>
          <w:i w:val="0"/>
          <w:color w:val="auto"/>
        </w:rPr>
        <w:t xml:space="preserve"> may occasionally need to deny access to information in accordance with the exemptions contained in the Act</w:t>
      </w:r>
      <w:r w:rsidR="00A7525E" w:rsidRPr="0031722A">
        <w:rPr>
          <w:rStyle w:val="IntenseEmphasis"/>
          <w:rFonts w:ascii="Calibri" w:hAnsi="Calibri" w:cs="Calibri"/>
          <w:i w:val="0"/>
          <w:color w:val="auto"/>
        </w:rPr>
        <w:t xml:space="preserve"> or if it is in the best interests of the client</w:t>
      </w:r>
      <w:r w:rsidRPr="0031722A">
        <w:rPr>
          <w:rStyle w:val="IntenseEmphasis"/>
          <w:rFonts w:ascii="Calibri" w:hAnsi="Calibri" w:cs="Calibri"/>
          <w:i w:val="0"/>
          <w:color w:val="auto"/>
        </w:rPr>
        <w:t>.</w:t>
      </w:r>
      <w:r w:rsidR="00C82C1B" w:rsidRPr="0031722A">
        <w:rPr>
          <w:rStyle w:val="IntenseEmphasis"/>
          <w:rFonts w:ascii="Calibri" w:hAnsi="Calibri" w:cs="Calibri"/>
          <w:i w:val="0"/>
          <w:color w:val="auto"/>
        </w:rPr>
        <w:t xml:space="preserve">  </w:t>
      </w:r>
    </w:p>
    <w:p w:rsidR="002740CD" w:rsidRPr="0031722A" w:rsidRDefault="002740CD" w:rsidP="002740CD">
      <w:pPr>
        <w:jc w:val="both"/>
        <w:rPr>
          <w:rStyle w:val="IntenseEmphasis"/>
          <w:rFonts w:ascii="Calibri" w:hAnsi="Calibri" w:cs="Calibri"/>
          <w:i w:val="0"/>
          <w:color w:val="auto"/>
        </w:rPr>
      </w:pPr>
    </w:p>
    <w:p w:rsidR="002740CD" w:rsidRPr="0031722A" w:rsidRDefault="006E7F31"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 xml:space="preserve">Storage and </w:t>
      </w:r>
      <w:r w:rsidR="002740CD" w:rsidRPr="0031722A">
        <w:rPr>
          <w:rStyle w:val="IntenseEmphasis"/>
          <w:rFonts w:ascii="Calibri" w:hAnsi="Calibri" w:cs="Calibri"/>
          <w:b/>
          <w:i w:val="0"/>
          <w:color w:val="auto"/>
        </w:rPr>
        <w:t>Security</w:t>
      </w:r>
    </w:p>
    <w:p w:rsidR="008C6FC9"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Our goal is to protect the personal information </w:t>
      </w:r>
      <w:r w:rsidR="00AF1F52" w:rsidRPr="0031722A">
        <w:rPr>
          <w:rStyle w:val="IntenseEmphasis"/>
          <w:rFonts w:ascii="Calibri" w:hAnsi="Calibri" w:cs="Calibri"/>
          <w:i w:val="0"/>
          <w:color w:val="auto"/>
        </w:rPr>
        <w:t xml:space="preserve">and artwork </w:t>
      </w:r>
      <w:r w:rsidRPr="0031722A">
        <w:rPr>
          <w:rStyle w:val="IntenseEmphasis"/>
          <w:rFonts w:ascii="Calibri" w:hAnsi="Calibri" w:cs="Calibri"/>
          <w:i w:val="0"/>
          <w:color w:val="auto"/>
        </w:rPr>
        <w:t xml:space="preserve">collected by </w:t>
      </w:r>
      <w:r w:rsidR="000076BD" w:rsidRPr="0031722A">
        <w:rPr>
          <w:rStyle w:val="IntenseEmphasis"/>
          <w:rFonts w:ascii="Calibri" w:hAnsi="Calibri" w:cs="Calibri"/>
          <w:i w:val="0"/>
          <w:color w:val="CC0066"/>
        </w:rPr>
        <w:t>…metaphorically s</w:t>
      </w:r>
      <w:r w:rsidRPr="0031722A">
        <w:rPr>
          <w:rStyle w:val="IntenseEmphasis"/>
          <w:rFonts w:ascii="Calibri" w:hAnsi="Calibri" w:cs="Calibri"/>
          <w:i w:val="0"/>
          <w:color w:val="CC0066"/>
        </w:rPr>
        <w:t>peaking</w:t>
      </w:r>
      <w:r w:rsidRPr="0031722A">
        <w:rPr>
          <w:rStyle w:val="IntenseEmphasis"/>
          <w:rFonts w:ascii="Calibri" w:hAnsi="Calibri" w:cs="Calibri"/>
          <w:i w:val="0"/>
          <w:color w:val="auto"/>
        </w:rPr>
        <w:t xml:space="preserve"> and its associations. </w:t>
      </w:r>
      <w:r w:rsidR="00AF1F52" w:rsidRPr="0031722A">
        <w:rPr>
          <w:rStyle w:val="IntenseEmphasis"/>
          <w:rFonts w:ascii="Calibri" w:hAnsi="Calibri" w:cs="Calibri"/>
          <w:i w:val="0"/>
          <w:color w:val="auto"/>
        </w:rPr>
        <w:t xml:space="preserve"> </w:t>
      </w:r>
      <w:r w:rsidRPr="0031722A">
        <w:rPr>
          <w:rStyle w:val="IntenseEmphasis"/>
          <w:rFonts w:ascii="Calibri" w:hAnsi="Calibri" w:cs="Calibri"/>
          <w:i w:val="0"/>
          <w:color w:val="auto"/>
        </w:rPr>
        <w:t xml:space="preserve">Personal information </w:t>
      </w:r>
      <w:r w:rsidR="00AF1F52" w:rsidRPr="0031722A">
        <w:rPr>
          <w:rStyle w:val="IntenseEmphasis"/>
          <w:rFonts w:ascii="Calibri" w:hAnsi="Calibri" w:cs="Calibri"/>
          <w:i w:val="0"/>
          <w:color w:val="auto"/>
        </w:rPr>
        <w:t xml:space="preserve">and artworks </w:t>
      </w:r>
      <w:r w:rsidRPr="0031722A">
        <w:rPr>
          <w:rStyle w:val="IntenseEmphasis"/>
          <w:rFonts w:ascii="Calibri" w:hAnsi="Calibri" w:cs="Calibri"/>
          <w:i w:val="0"/>
          <w:color w:val="auto"/>
        </w:rPr>
        <w:t>will be managed confidentially</w:t>
      </w:r>
      <w:r w:rsidR="008C6FC9" w:rsidRPr="0031722A">
        <w:rPr>
          <w:rStyle w:val="IntenseEmphasis"/>
          <w:rFonts w:ascii="Calibri" w:hAnsi="Calibri" w:cs="Calibri"/>
          <w:i w:val="0"/>
          <w:color w:val="auto"/>
        </w:rPr>
        <w:t xml:space="preserve"> and securely in a locked filing cabinet</w:t>
      </w:r>
      <w:r w:rsidR="006E7F31" w:rsidRPr="0031722A">
        <w:rPr>
          <w:rStyle w:val="IntenseEmphasis"/>
          <w:rFonts w:ascii="Calibri" w:hAnsi="Calibri" w:cs="Calibri"/>
          <w:i w:val="0"/>
          <w:color w:val="auto"/>
        </w:rPr>
        <w:t xml:space="preserve">.  These records are destroyed after 7 years, as required by the </w:t>
      </w:r>
      <w:r w:rsidR="006E7F31" w:rsidRPr="0031722A">
        <w:rPr>
          <w:rStyle w:val="IntenseEmphasis"/>
          <w:rFonts w:ascii="Calibri" w:hAnsi="Calibri" w:cs="Calibri"/>
          <w:color w:val="auto"/>
        </w:rPr>
        <w:t>AASW Practice Standards 2013</w:t>
      </w:r>
      <w:r w:rsidR="006E7F31" w:rsidRPr="0031722A">
        <w:rPr>
          <w:rStyle w:val="IntenseEmphasis"/>
          <w:rFonts w:ascii="Calibri" w:hAnsi="Calibri" w:cs="Calibri"/>
          <w:i w:val="0"/>
          <w:color w:val="auto"/>
        </w:rPr>
        <w:t xml:space="preserve">.  </w:t>
      </w:r>
      <w:r w:rsidR="008C6FC9" w:rsidRPr="0031722A">
        <w:rPr>
          <w:rStyle w:val="IntenseEmphasis"/>
          <w:rFonts w:ascii="Calibri" w:hAnsi="Calibri" w:cs="Calibri"/>
          <w:i w:val="0"/>
          <w:color w:val="auto"/>
        </w:rPr>
        <w:t xml:space="preserve">If </w:t>
      </w:r>
      <w:proofErr w:type="spellStart"/>
      <w:r w:rsidR="008C6FC9" w:rsidRPr="0031722A">
        <w:rPr>
          <w:rStyle w:val="IntenseEmphasis"/>
          <w:rFonts w:ascii="Calibri" w:hAnsi="Calibri" w:cs="Calibri"/>
          <w:i w:val="0"/>
          <w:color w:val="auto"/>
        </w:rPr>
        <w:t>video taping</w:t>
      </w:r>
      <w:proofErr w:type="spellEnd"/>
      <w:r w:rsidR="008C6FC9" w:rsidRPr="0031722A">
        <w:rPr>
          <w:rStyle w:val="IntenseEmphasis"/>
          <w:rFonts w:ascii="Calibri" w:hAnsi="Calibri" w:cs="Calibri"/>
          <w:i w:val="0"/>
          <w:color w:val="auto"/>
        </w:rPr>
        <w:t xml:space="preserve"> of sessions occurs </w:t>
      </w:r>
      <w:r w:rsidR="006E7F31" w:rsidRPr="0031722A">
        <w:rPr>
          <w:rStyle w:val="IntenseEmphasis"/>
          <w:rFonts w:ascii="Calibri" w:hAnsi="Calibri" w:cs="Calibri"/>
          <w:i w:val="0"/>
          <w:color w:val="auto"/>
        </w:rPr>
        <w:t>at the request of clients</w:t>
      </w:r>
      <w:r w:rsidR="008C6FC9" w:rsidRPr="0031722A">
        <w:rPr>
          <w:rStyle w:val="IntenseEmphasis"/>
          <w:rFonts w:ascii="Calibri" w:hAnsi="Calibri" w:cs="Calibri"/>
          <w:i w:val="0"/>
          <w:color w:val="auto"/>
        </w:rPr>
        <w:t>, these are erased within 7 days.</w:t>
      </w:r>
    </w:p>
    <w:p w:rsidR="002740CD" w:rsidRPr="0031722A" w:rsidRDefault="002740CD" w:rsidP="002740CD">
      <w:pPr>
        <w:jc w:val="both"/>
        <w:rPr>
          <w:rStyle w:val="IntenseEmphasis"/>
          <w:rFonts w:ascii="Calibri" w:hAnsi="Calibri" w:cs="Calibri"/>
          <w:i w:val="0"/>
          <w:color w:val="auto"/>
        </w:rPr>
      </w:pPr>
    </w:p>
    <w:p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We will </w:t>
      </w:r>
      <w:r w:rsidR="008C6FC9" w:rsidRPr="0031722A">
        <w:rPr>
          <w:rStyle w:val="IntenseEmphasis"/>
          <w:rFonts w:ascii="Calibri" w:hAnsi="Calibri" w:cs="Calibri"/>
          <w:i w:val="0"/>
          <w:color w:val="auto"/>
        </w:rPr>
        <w:t xml:space="preserve">continually </w:t>
      </w:r>
      <w:r w:rsidRPr="0031722A">
        <w:rPr>
          <w:rStyle w:val="IntenseEmphasis"/>
          <w:rFonts w:ascii="Calibri" w:hAnsi="Calibri" w:cs="Calibri"/>
          <w:i w:val="0"/>
          <w:color w:val="auto"/>
        </w:rPr>
        <w:t>monitor and implement appropriate technical advances or management processes, to safeguard personal information.</w:t>
      </w:r>
    </w:p>
    <w:p w:rsidR="002740CD" w:rsidRPr="0031722A" w:rsidRDefault="002740CD" w:rsidP="002740CD">
      <w:pPr>
        <w:jc w:val="both"/>
        <w:rPr>
          <w:rStyle w:val="IntenseEmphasis"/>
          <w:rFonts w:ascii="Calibri" w:hAnsi="Calibri" w:cs="Calibri"/>
          <w:i w:val="0"/>
          <w:color w:val="auto"/>
        </w:rPr>
      </w:pPr>
    </w:p>
    <w:p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Data Quality</w:t>
      </w:r>
    </w:p>
    <w:p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We will take all reasonable steps to ensure that the data we collect, use or disclose is accurate, complete and up to date, and has been obtained directly from individuals or other reputable sources.</w:t>
      </w:r>
    </w:p>
    <w:p w:rsidR="002740CD" w:rsidRPr="0031722A" w:rsidRDefault="002740CD" w:rsidP="002740CD">
      <w:pPr>
        <w:jc w:val="both"/>
        <w:rPr>
          <w:rStyle w:val="IntenseEmphasis"/>
          <w:rFonts w:ascii="Calibri" w:hAnsi="Calibri" w:cs="Calibri"/>
          <w:i w:val="0"/>
          <w:color w:val="auto"/>
        </w:rPr>
      </w:pPr>
    </w:p>
    <w:p w:rsidR="00C82C1B" w:rsidRPr="0031722A" w:rsidRDefault="00C82C1B"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In the Event of Death of Incapacity of Service Provider</w:t>
      </w:r>
    </w:p>
    <w:p w:rsidR="00C82C1B" w:rsidRPr="0031722A" w:rsidRDefault="00C82C1B"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In the event of the provider of the service at </w:t>
      </w:r>
      <w:r w:rsidR="000076BD" w:rsidRPr="0031722A">
        <w:rPr>
          <w:rStyle w:val="IntenseEmphasis"/>
          <w:rFonts w:ascii="Calibri" w:hAnsi="Calibri" w:cs="Calibri"/>
          <w:i w:val="0"/>
          <w:color w:val="CC0066"/>
        </w:rPr>
        <w:t xml:space="preserve">…metaphorically Speaking </w:t>
      </w:r>
      <w:r w:rsidRPr="0031722A">
        <w:rPr>
          <w:rStyle w:val="IntenseEmphasis"/>
          <w:rFonts w:ascii="Calibri" w:hAnsi="Calibri" w:cs="Calibri"/>
          <w:i w:val="0"/>
          <w:color w:val="auto"/>
        </w:rPr>
        <w:t>unexpectedly passing away or becoming incapacitated, their External Supervisor will be responsible for the appropriate storage and security of client information for the required period, and the subsequent destroying of this information</w:t>
      </w:r>
      <w:r w:rsidR="000076BD" w:rsidRPr="0031722A">
        <w:rPr>
          <w:rStyle w:val="IntenseEmphasis"/>
          <w:rFonts w:ascii="Calibri" w:hAnsi="Calibri" w:cs="Calibri"/>
          <w:i w:val="0"/>
          <w:color w:val="auto"/>
        </w:rPr>
        <w:t xml:space="preserve"> once this time </w:t>
      </w:r>
      <w:proofErr w:type="gramStart"/>
      <w:r w:rsidR="000076BD" w:rsidRPr="0031722A">
        <w:rPr>
          <w:rStyle w:val="IntenseEmphasis"/>
          <w:rFonts w:ascii="Calibri" w:hAnsi="Calibri" w:cs="Calibri"/>
          <w:i w:val="0"/>
          <w:color w:val="auto"/>
        </w:rPr>
        <w:t>has</w:t>
      </w:r>
      <w:proofErr w:type="gramEnd"/>
      <w:r w:rsidR="000076BD" w:rsidRPr="0031722A">
        <w:rPr>
          <w:rStyle w:val="IntenseEmphasis"/>
          <w:rFonts w:ascii="Calibri" w:hAnsi="Calibri" w:cs="Calibri"/>
          <w:i w:val="0"/>
          <w:color w:val="auto"/>
        </w:rPr>
        <w:t xml:space="preserve"> lapsed</w:t>
      </w:r>
      <w:r w:rsidRPr="0031722A">
        <w:rPr>
          <w:rStyle w:val="IntenseEmphasis"/>
          <w:rFonts w:ascii="Calibri" w:hAnsi="Calibri" w:cs="Calibri"/>
          <w:i w:val="0"/>
          <w:color w:val="auto"/>
        </w:rPr>
        <w:t>.</w:t>
      </w:r>
    </w:p>
    <w:p w:rsidR="00C82C1B" w:rsidRPr="0031722A" w:rsidRDefault="00C82C1B" w:rsidP="002740CD">
      <w:pPr>
        <w:jc w:val="both"/>
        <w:rPr>
          <w:rStyle w:val="IntenseEmphasis"/>
          <w:rFonts w:ascii="Calibri" w:hAnsi="Calibri" w:cs="Calibri"/>
          <w:b/>
          <w:i w:val="0"/>
          <w:color w:val="auto"/>
        </w:rPr>
      </w:pPr>
    </w:p>
    <w:p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Privacy Inquiries</w:t>
      </w:r>
    </w:p>
    <w:p w:rsidR="002740CD" w:rsidRPr="0031722A" w:rsidRDefault="000076BD" w:rsidP="002740CD">
      <w:pPr>
        <w:jc w:val="both"/>
        <w:rPr>
          <w:rStyle w:val="IntenseEmphasis"/>
          <w:rFonts w:ascii="Calibri" w:hAnsi="Calibri" w:cs="Calibri"/>
          <w:i w:val="0"/>
          <w:color w:val="CC0066"/>
        </w:rPr>
      </w:pPr>
      <w:r w:rsidRPr="0031722A">
        <w:rPr>
          <w:rStyle w:val="IntenseEmphasis"/>
          <w:rFonts w:ascii="Calibri" w:hAnsi="Calibri" w:cs="Calibri"/>
          <w:i w:val="0"/>
          <w:color w:val="auto"/>
        </w:rPr>
        <w:t>Privacy related e</w:t>
      </w:r>
      <w:r w:rsidR="002740CD" w:rsidRPr="0031722A">
        <w:rPr>
          <w:rStyle w:val="IntenseEmphasis"/>
          <w:rFonts w:ascii="Calibri" w:hAnsi="Calibri" w:cs="Calibri"/>
          <w:i w:val="0"/>
          <w:color w:val="auto"/>
        </w:rPr>
        <w:t xml:space="preserve">nquiries or concerns can be directed to Lucy Van Sambeek at </w:t>
      </w:r>
      <w:r w:rsidRPr="0031722A">
        <w:rPr>
          <w:rStyle w:val="IntenseEmphasis"/>
          <w:rFonts w:ascii="Calibri" w:hAnsi="Calibri" w:cs="Calibri"/>
          <w:i w:val="0"/>
          <w:color w:val="CC0066"/>
        </w:rPr>
        <w:t>…m</w:t>
      </w:r>
      <w:r w:rsidR="002740CD" w:rsidRPr="0031722A">
        <w:rPr>
          <w:rStyle w:val="IntenseEmphasis"/>
          <w:rFonts w:ascii="Calibri" w:hAnsi="Calibri" w:cs="Calibri"/>
          <w:i w:val="0"/>
          <w:color w:val="CC0066"/>
        </w:rPr>
        <w:t>etaphorical</w:t>
      </w:r>
      <w:r w:rsidRPr="0031722A">
        <w:rPr>
          <w:rStyle w:val="IntenseEmphasis"/>
          <w:rFonts w:ascii="Calibri" w:hAnsi="Calibri" w:cs="Calibri"/>
          <w:i w:val="0"/>
          <w:color w:val="CC0066"/>
        </w:rPr>
        <w:t>ly s</w:t>
      </w:r>
      <w:r w:rsidR="002740CD" w:rsidRPr="0031722A">
        <w:rPr>
          <w:rStyle w:val="IntenseEmphasis"/>
          <w:rFonts w:ascii="Calibri" w:hAnsi="Calibri" w:cs="Calibri"/>
          <w:i w:val="0"/>
          <w:color w:val="CC0066"/>
        </w:rPr>
        <w:t>peaking.</w:t>
      </w:r>
    </w:p>
    <w:p w:rsidR="002740CD" w:rsidRPr="0031722A" w:rsidRDefault="002740CD" w:rsidP="002740CD">
      <w:pPr>
        <w:jc w:val="both"/>
        <w:rPr>
          <w:rStyle w:val="IntenseEmphasis"/>
          <w:rFonts w:ascii="Calibri" w:hAnsi="Calibri" w:cs="Calibri"/>
          <w:b/>
          <w:i w:val="0"/>
          <w:color w:val="auto"/>
        </w:rPr>
      </w:pPr>
    </w:p>
    <w:p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Availability and review of Policy</w:t>
      </w:r>
    </w:p>
    <w:p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We will make our privacy policy available upon request and will provide a link to this policy from our website.</w:t>
      </w:r>
    </w:p>
    <w:p w:rsidR="002740CD" w:rsidRPr="0031722A" w:rsidRDefault="002740CD" w:rsidP="002740CD">
      <w:pPr>
        <w:jc w:val="both"/>
        <w:rPr>
          <w:rStyle w:val="IntenseEmphasis"/>
          <w:rFonts w:ascii="Calibri" w:hAnsi="Calibri" w:cs="Calibri"/>
          <w:i w:val="0"/>
          <w:color w:val="auto"/>
        </w:rPr>
      </w:pPr>
    </w:p>
    <w:p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This policy will be reviewed from time to time and any amendments will be incorporated into the updated policy.</w:t>
      </w:r>
    </w:p>
    <w:p w:rsidR="002740CD" w:rsidRPr="0031722A" w:rsidRDefault="002740CD" w:rsidP="002740CD">
      <w:pPr>
        <w:jc w:val="both"/>
        <w:rPr>
          <w:rFonts w:ascii="Calibri" w:hAnsi="Calibri" w:cs="Calibri"/>
        </w:rPr>
      </w:pPr>
    </w:p>
    <w:p w:rsidR="00BB4ABA" w:rsidRPr="0031722A" w:rsidRDefault="00BB4ABA">
      <w:pPr>
        <w:rPr>
          <w:rFonts w:ascii="Calibri" w:hAnsi="Calibri" w:cs="Calibri"/>
        </w:rPr>
      </w:pPr>
    </w:p>
    <w:p w:rsidR="00E05464" w:rsidRPr="0031722A" w:rsidRDefault="00E05464">
      <w:pPr>
        <w:rPr>
          <w:rFonts w:ascii="Calibri" w:hAnsi="Calibri" w:cs="Calibri"/>
        </w:rPr>
      </w:pPr>
    </w:p>
    <w:p w:rsidR="00E05464" w:rsidRPr="0031722A" w:rsidRDefault="008C6FC9"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Lucy Van Sambeek</w:t>
      </w:r>
    </w:p>
    <w:p w:rsidR="008C6FC9" w:rsidRPr="0031722A" w:rsidRDefault="000076BD"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…m</w:t>
      </w:r>
      <w:r w:rsidR="008C6FC9" w:rsidRPr="0031722A">
        <w:rPr>
          <w:rStyle w:val="IntenseEmphasis"/>
          <w:rFonts w:ascii="Calibri" w:hAnsi="Calibri" w:cs="Calibri"/>
          <w:i w:val="0"/>
          <w:color w:val="auto"/>
        </w:rPr>
        <w:t>etaphorically speaking</w:t>
      </w:r>
    </w:p>
    <w:p w:rsidR="008C6FC9" w:rsidRPr="0031722A" w:rsidRDefault="008C6FC9"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PO Box 82, Bowraville, NSW, 2449</w:t>
      </w:r>
    </w:p>
    <w:p w:rsidR="008C6FC9" w:rsidRPr="0031722A" w:rsidRDefault="008475B4" w:rsidP="008C6FC9">
      <w:pPr>
        <w:jc w:val="both"/>
        <w:rPr>
          <w:rStyle w:val="IntenseEmphasis"/>
          <w:rFonts w:ascii="Calibri" w:hAnsi="Calibri" w:cs="Calibri"/>
          <w:i w:val="0"/>
          <w:color w:val="auto"/>
        </w:rPr>
      </w:pPr>
      <w:hyperlink r:id="rId16" w:history="1">
        <w:r w:rsidR="008C6FC9" w:rsidRPr="0031722A">
          <w:rPr>
            <w:rStyle w:val="IntenseEmphasis"/>
            <w:rFonts w:ascii="Calibri" w:hAnsi="Calibri" w:cs="Calibri"/>
            <w:i w:val="0"/>
            <w:color w:val="auto"/>
          </w:rPr>
          <w:t>lucy@metaphoricallyspeaking.com.au</w:t>
        </w:r>
      </w:hyperlink>
    </w:p>
    <w:p w:rsidR="00E05464" w:rsidRPr="0031722A" w:rsidRDefault="008C6FC9"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0417 927 657</w:t>
      </w:r>
      <w:bookmarkStart w:id="0" w:name="_GoBack"/>
      <w:bookmarkEnd w:id="0"/>
    </w:p>
    <w:sectPr w:rsidR="00E05464" w:rsidRPr="0031722A" w:rsidSect="002740C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B4" w:rsidRDefault="008475B4" w:rsidP="00E05464">
      <w:r>
        <w:separator/>
      </w:r>
    </w:p>
  </w:endnote>
  <w:endnote w:type="continuationSeparator" w:id="0">
    <w:p w:rsidR="008475B4" w:rsidRDefault="008475B4" w:rsidP="00E0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94" w:rsidRPr="00953894" w:rsidRDefault="00953894" w:rsidP="00953894">
    <w:pPr>
      <w:pStyle w:val="Footer"/>
      <w:jc w:val="right"/>
      <w:rPr>
        <w:sz w:val="18"/>
        <w:szCs w:val="18"/>
      </w:rPr>
    </w:pPr>
    <w:r w:rsidRPr="00953894">
      <w:rPr>
        <w:sz w:val="18"/>
        <w:szCs w:val="18"/>
      </w:rPr>
      <w:t>Last Updated 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B4" w:rsidRDefault="008475B4" w:rsidP="00E05464">
      <w:r>
        <w:separator/>
      </w:r>
    </w:p>
  </w:footnote>
  <w:footnote w:type="continuationSeparator" w:id="0">
    <w:p w:rsidR="008475B4" w:rsidRDefault="008475B4" w:rsidP="00E0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64" w:rsidRPr="00E05464" w:rsidRDefault="00E05464" w:rsidP="00E05464">
    <w:pPr>
      <w:pStyle w:val="Header"/>
      <w:jc w:val="right"/>
    </w:pPr>
    <w:r>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00BF"/>
    <w:multiLevelType w:val="multilevel"/>
    <w:tmpl w:val="86E8D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9B0075"/>
    <w:multiLevelType w:val="hybridMultilevel"/>
    <w:tmpl w:val="80CC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316449"/>
    <w:multiLevelType w:val="hybridMultilevel"/>
    <w:tmpl w:val="1322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705D5E"/>
    <w:multiLevelType w:val="hybridMultilevel"/>
    <w:tmpl w:val="30A22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0B2242"/>
    <w:multiLevelType w:val="hybridMultilevel"/>
    <w:tmpl w:val="F1A0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64"/>
    <w:rsid w:val="000076BD"/>
    <w:rsid w:val="00180301"/>
    <w:rsid w:val="001923B0"/>
    <w:rsid w:val="00246782"/>
    <w:rsid w:val="002740CD"/>
    <w:rsid w:val="0031722A"/>
    <w:rsid w:val="00626BB7"/>
    <w:rsid w:val="006E7F31"/>
    <w:rsid w:val="00836B3A"/>
    <w:rsid w:val="008475B4"/>
    <w:rsid w:val="00877E55"/>
    <w:rsid w:val="008C6FC9"/>
    <w:rsid w:val="00953894"/>
    <w:rsid w:val="00990B11"/>
    <w:rsid w:val="00A7525E"/>
    <w:rsid w:val="00AF1F52"/>
    <w:rsid w:val="00B04D51"/>
    <w:rsid w:val="00B37BAD"/>
    <w:rsid w:val="00BB4ABA"/>
    <w:rsid w:val="00C82C1B"/>
    <w:rsid w:val="00CB0139"/>
    <w:rsid w:val="00CB5C61"/>
    <w:rsid w:val="00D6204E"/>
    <w:rsid w:val="00DE3D96"/>
    <w:rsid w:val="00E05464"/>
    <w:rsid w:val="00E26615"/>
    <w:rsid w:val="00FC0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CD"/>
    <w:pPr>
      <w:spacing w:after="0" w:line="240" w:lineRule="auto"/>
    </w:pPr>
    <w:rPr>
      <w:rFonts w:ascii="Century Gothic" w:eastAsia="Times New Roman" w:hAnsi="Century Gothic" w:cs="Times New Roman"/>
      <w:sz w:val="24"/>
      <w:szCs w:val="24"/>
    </w:rPr>
  </w:style>
  <w:style w:type="paragraph" w:styleId="Heading2">
    <w:name w:val="heading 2"/>
    <w:basedOn w:val="Normal"/>
    <w:next w:val="Normal"/>
    <w:link w:val="Heading2Char"/>
    <w:unhideWhenUsed/>
    <w:qFormat/>
    <w:rsid w:val="002740CD"/>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64"/>
    <w:rPr>
      <w:rFonts w:ascii="Tahoma" w:hAnsi="Tahoma" w:cs="Tahoma"/>
      <w:sz w:val="16"/>
      <w:szCs w:val="16"/>
    </w:rPr>
  </w:style>
  <w:style w:type="character" w:customStyle="1" w:styleId="BalloonTextChar">
    <w:name w:val="Balloon Text Char"/>
    <w:basedOn w:val="DefaultParagraphFont"/>
    <w:link w:val="BalloonText"/>
    <w:uiPriority w:val="99"/>
    <w:semiHidden/>
    <w:rsid w:val="00E05464"/>
    <w:rPr>
      <w:rFonts w:ascii="Tahoma" w:hAnsi="Tahoma" w:cs="Tahoma"/>
      <w:sz w:val="16"/>
      <w:szCs w:val="16"/>
    </w:rPr>
  </w:style>
  <w:style w:type="paragraph" w:styleId="Header">
    <w:name w:val="header"/>
    <w:basedOn w:val="Normal"/>
    <w:link w:val="HeaderChar"/>
    <w:uiPriority w:val="99"/>
    <w:unhideWhenUsed/>
    <w:rsid w:val="00E05464"/>
    <w:pPr>
      <w:tabs>
        <w:tab w:val="center" w:pos="4513"/>
        <w:tab w:val="right" w:pos="9026"/>
      </w:tabs>
    </w:pPr>
  </w:style>
  <w:style w:type="character" w:customStyle="1" w:styleId="HeaderChar">
    <w:name w:val="Header Char"/>
    <w:basedOn w:val="DefaultParagraphFont"/>
    <w:link w:val="Header"/>
    <w:uiPriority w:val="99"/>
    <w:rsid w:val="00E05464"/>
  </w:style>
  <w:style w:type="paragraph" w:styleId="Footer">
    <w:name w:val="footer"/>
    <w:basedOn w:val="Normal"/>
    <w:link w:val="FooterChar"/>
    <w:uiPriority w:val="99"/>
    <w:unhideWhenUsed/>
    <w:rsid w:val="00E05464"/>
    <w:pPr>
      <w:tabs>
        <w:tab w:val="center" w:pos="4513"/>
        <w:tab w:val="right" w:pos="9026"/>
      </w:tabs>
    </w:pPr>
  </w:style>
  <w:style w:type="character" w:customStyle="1" w:styleId="FooterChar">
    <w:name w:val="Footer Char"/>
    <w:basedOn w:val="DefaultParagraphFont"/>
    <w:link w:val="Footer"/>
    <w:uiPriority w:val="99"/>
    <w:rsid w:val="00E05464"/>
  </w:style>
  <w:style w:type="character" w:customStyle="1" w:styleId="Heading2Char">
    <w:name w:val="Heading 2 Char"/>
    <w:basedOn w:val="DefaultParagraphFont"/>
    <w:link w:val="Heading2"/>
    <w:rsid w:val="002740CD"/>
    <w:rPr>
      <w:rFonts w:ascii="Calibri Light" w:eastAsia="Times New Roman" w:hAnsi="Calibri Light" w:cs="Times New Roman"/>
      <w:b/>
      <w:bCs/>
      <w:color w:val="5B9BD5"/>
      <w:sz w:val="26"/>
      <w:szCs w:val="26"/>
    </w:rPr>
  </w:style>
  <w:style w:type="paragraph" w:styleId="NoSpacing">
    <w:name w:val="No Spacing"/>
    <w:uiPriority w:val="1"/>
    <w:qFormat/>
    <w:rsid w:val="002740CD"/>
    <w:pPr>
      <w:spacing w:after="0" w:line="240" w:lineRule="auto"/>
    </w:pPr>
    <w:rPr>
      <w:rFonts w:ascii="Century Gothic" w:eastAsia="Times New Roman" w:hAnsi="Century Gothic" w:cs="Times New Roman"/>
      <w:sz w:val="24"/>
      <w:szCs w:val="24"/>
    </w:rPr>
  </w:style>
  <w:style w:type="character" w:styleId="IntenseEmphasis">
    <w:name w:val="Intense Emphasis"/>
    <w:basedOn w:val="DefaultParagraphFont"/>
    <w:uiPriority w:val="21"/>
    <w:qFormat/>
    <w:rsid w:val="002740CD"/>
    <w:rPr>
      <w:i/>
      <w:iCs/>
      <w:color w:val="4F81BD" w:themeColor="accent1"/>
    </w:rPr>
  </w:style>
  <w:style w:type="character" w:styleId="Hyperlink">
    <w:name w:val="Hyperlink"/>
    <w:basedOn w:val="DefaultParagraphFont"/>
    <w:rsid w:val="002740CD"/>
    <w:rPr>
      <w:color w:val="0000FF" w:themeColor="hyperlink"/>
      <w:u w:val="single"/>
    </w:rPr>
  </w:style>
  <w:style w:type="paragraph" w:styleId="ListParagraph">
    <w:name w:val="List Paragraph"/>
    <w:basedOn w:val="Normal"/>
    <w:uiPriority w:val="34"/>
    <w:qFormat/>
    <w:rsid w:val="00274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CD"/>
    <w:pPr>
      <w:spacing w:after="0" w:line="240" w:lineRule="auto"/>
    </w:pPr>
    <w:rPr>
      <w:rFonts w:ascii="Century Gothic" w:eastAsia="Times New Roman" w:hAnsi="Century Gothic" w:cs="Times New Roman"/>
      <w:sz w:val="24"/>
      <w:szCs w:val="24"/>
    </w:rPr>
  </w:style>
  <w:style w:type="paragraph" w:styleId="Heading2">
    <w:name w:val="heading 2"/>
    <w:basedOn w:val="Normal"/>
    <w:next w:val="Normal"/>
    <w:link w:val="Heading2Char"/>
    <w:unhideWhenUsed/>
    <w:qFormat/>
    <w:rsid w:val="002740CD"/>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64"/>
    <w:rPr>
      <w:rFonts w:ascii="Tahoma" w:hAnsi="Tahoma" w:cs="Tahoma"/>
      <w:sz w:val="16"/>
      <w:szCs w:val="16"/>
    </w:rPr>
  </w:style>
  <w:style w:type="character" w:customStyle="1" w:styleId="BalloonTextChar">
    <w:name w:val="Balloon Text Char"/>
    <w:basedOn w:val="DefaultParagraphFont"/>
    <w:link w:val="BalloonText"/>
    <w:uiPriority w:val="99"/>
    <w:semiHidden/>
    <w:rsid w:val="00E05464"/>
    <w:rPr>
      <w:rFonts w:ascii="Tahoma" w:hAnsi="Tahoma" w:cs="Tahoma"/>
      <w:sz w:val="16"/>
      <w:szCs w:val="16"/>
    </w:rPr>
  </w:style>
  <w:style w:type="paragraph" w:styleId="Header">
    <w:name w:val="header"/>
    <w:basedOn w:val="Normal"/>
    <w:link w:val="HeaderChar"/>
    <w:uiPriority w:val="99"/>
    <w:unhideWhenUsed/>
    <w:rsid w:val="00E05464"/>
    <w:pPr>
      <w:tabs>
        <w:tab w:val="center" w:pos="4513"/>
        <w:tab w:val="right" w:pos="9026"/>
      </w:tabs>
    </w:pPr>
  </w:style>
  <w:style w:type="character" w:customStyle="1" w:styleId="HeaderChar">
    <w:name w:val="Header Char"/>
    <w:basedOn w:val="DefaultParagraphFont"/>
    <w:link w:val="Header"/>
    <w:uiPriority w:val="99"/>
    <w:rsid w:val="00E05464"/>
  </w:style>
  <w:style w:type="paragraph" w:styleId="Footer">
    <w:name w:val="footer"/>
    <w:basedOn w:val="Normal"/>
    <w:link w:val="FooterChar"/>
    <w:uiPriority w:val="99"/>
    <w:unhideWhenUsed/>
    <w:rsid w:val="00E05464"/>
    <w:pPr>
      <w:tabs>
        <w:tab w:val="center" w:pos="4513"/>
        <w:tab w:val="right" w:pos="9026"/>
      </w:tabs>
    </w:pPr>
  </w:style>
  <w:style w:type="character" w:customStyle="1" w:styleId="FooterChar">
    <w:name w:val="Footer Char"/>
    <w:basedOn w:val="DefaultParagraphFont"/>
    <w:link w:val="Footer"/>
    <w:uiPriority w:val="99"/>
    <w:rsid w:val="00E05464"/>
  </w:style>
  <w:style w:type="character" w:customStyle="1" w:styleId="Heading2Char">
    <w:name w:val="Heading 2 Char"/>
    <w:basedOn w:val="DefaultParagraphFont"/>
    <w:link w:val="Heading2"/>
    <w:rsid w:val="002740CD"/>
    <w:rPr>
      <w:rFonts w:ascii="Calibri Light" w:eastAsia="Times New Roman" w:hAnsi="Calibri Light" w:cs="Times New Roman"/>
      <w:b/>
      <w:bCs/>
      <w:color w:val="5B9BD5"/>
      <w:sz w:val="26"/>
      <w:szCs w:val="26"/>
    </w:rPr>
  </w:style>
  <w:style w:type="paragraph" w:styleId="NoSpacing">
    <w:name w:val="No Spacing"/>
    <w:uiPriority w:val="1"/>
    <w:qFormat/>
    <w:rsid w:val="002740CD"/>
    <w:pPr>
      <w:spacing w:after="0" w:line="240" w:lineRule="auto"/>
    </w:pPr>
    <w:rPr>
      <w:rFonts w:ascii="Century Gothic" w:eastAsia="Times New Roman" w:hAnsi="Century Gothic" w:cs="Times New Roman"/>
      <w:sz w:val="24"/>
      <w:szCs w:val="24"/>
    </w:rPr>
  </w:style>
  <w:style w:type="character" w:styleId="IntenseEmphasis">
    <w:name w:val="Intense Emphasis"/>
    <w:basedOn w:val="DefaultParagraphFont"/>
    <w:uiPriority w:val="21"/>
    <w:qFormat/>
    <w:rsid w:val="002740CD"/>
    <w:rPr>
      <w:i/>
      <w:iCs/>
      <w:color w:val="4F81BD" w:themeColor="accent1"/>
    </w:rPr>
  </w:style>
  <w:style w:type="character" w:styleId="Hyperlink">
    <w:name w:val="Hyperlink"/>
    <w:basedOn w:val="DefaultParagraphFont"/>
    <w:rsid w:val="002740CD"/>
    <w:rPr>
      <w:color w:val="0000FF" w:themeColor="hyperlink"/>
      <w:u w:val="single"/>
    </w:rPr>
  </w:style>
  <w:style w:type="paragraph" w:styleId="ListParagraph">
    <w:name w:val="List Paragraph"/>
    <w:basedOn w:val="Normal"/>
    <w:uiPriority w:val="34"/>
    <w:qFormat/>
    <w:rsid w:val="0027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nsw.gov.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law.gov.au/Series/C2012A0019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ucy@metaphoricallyspeaking.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ic.gov.au/privacy/privacy-act/australian-privacy-principles" TargetMode="External"/><Relationship Id="rId5" Type="http://schemas.openxmlformats.org/officeDocument/2006/relationships/settings" Target="settings.xml"/><Relationship Id="rId15" Type="http://schemas.openxmlformats.org/officeDocument/2006/relationships/hyperlink" Target="https://www.legislation.nsw.gov.au/" TargetMode="External"/><Relationship Id="rId10" Type="http://schemas.openxmlformats.org/officeDocument/2006/relationships/hyperlink" Target="http://www.comlaw.gov.au/Series/C2004A0371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cs.nsw.gov.au/families/Protecting-kids/mandatory-reporters/what-when-to-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7B6A-39EA-4048-8AC0-DD5CC444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Van Sambeek</dc:creator>
  <cp:keywords/>
  <dc:description/>
  <cp:lastModifiedBy>Wayne Van Sambeek</cp:lastModifiedBy>
  <cp:revision>8</cp:revision>
  <dcterms:created xsi:type="dcterms:W3CDTF">2014-06-11T02:17:00Z</dcterms:created>
  <dcterms:modified xsi:type="dcterms:W3CDTF">2018-08-22T02:51:00Z</dcterms:modified>
</cp:coreProperties>
</file>